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D5" w:rsidRPr="00347290" w:rsidRDefault="00EF2AD5" w:rsidP="00EF2A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920"/>
        <w:gridCol w:w="4253"/>
      </w:tblGrid>
      <w:tr w:rsidR="00EF2AD5" w:rsidRPr="00347290" w:rsidTr="00EF6D2B">
        <w:trPr>
          <w:trHeight w:val="3138"/>
        </w:trPr>
        <w:tc>
          <w:tcPr>
            <w:tcW w:w="5920" w:type="dxa"/>
          </w:tcPr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6A90484" wp14:editId="6D1EE9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78740</wp:posOffset>
                  </wp:positionV>
                  <wp:extent cx="2141855" cy="538480"/>
                  <wp:effectExtent l="0" t="0" r="0" b="0"/>
                  <wp:wrapNone/>
                  <wp:docPr id="1" name="Picture 1" descr="P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5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47290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BY EMAIL</w:t>
            </w: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4253" w:type="dxa"/>
          </w:tcPr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Office of the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Director of Public Health</w:t>
            </w: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Public Health Agency</w:t>
            </w: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4</w:t>
            </w: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en-GB"/>
              </w:rPr>
              <w:t>th</w:t>
            </w: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Floor South</w:t>
            </w: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12-22 Linenhall Street</w:t>
            </w: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br/>
              <w:t xml:space="preserve">BELFAST </w:t>
            </w: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BT2 8BS</w:t>
            </w:r>
          </w:p>
          <w:p w:rsidR="00EF2AD5" w:rsidRPr="00347290" w:rsidRDefault="00EF2AD5" w:rsidP="00EF6D2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:rsidR="00EF2AD5" w:rsidRPr="00347290" w:rsidRDefault="00EF2AD5" w:rsidP="00EF6D2B">
            <w:pPr>
              <w:tabs>
                <w:tab w:val="left" w:pos="1047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s-ES" w:eastAsia="en-GB"/>
              </w:rPr>
            </w:pP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val="es-ES" w:eastAsia="en-GB"/>
              </w:rPr>
              <w:t>Tel:        0300 555 0114</w:t>
            </w:r>
          </w:p>
          <w:p w:rsidR="00EF2AD5" w:rsidRPr="00347290" w:rsidRDefault="00EF2AD5" w:rsidP="00EF6D2B">
            <w:pPr>
              <w:tabs>
                <w:tab w:val="left" w:pos="1047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Website: </w:t>
            </w:r>
            <w:hyperlink r:id="rId7" w:history="1">
              <w:r w:rsidRPr="00347290">
                <w:rPr>
                  <w:rFonts w:ascii="Arial" w:eastAsia="Times New Roman" w:hAnsi="Arial" w:cs="Arial"/>
                  <w:i/>
                  <w:color w:val="0000FF"/>
                  <w:sz w:val="24"/>
                  <w:szCs w:val="24"/>
                  <w:u w:val="single"/>
                  <w:lang w:eastAsia="en-GB"/>
                </w:rPr>
                <w:t>www.publichealth.hscni.net</w:t>
              </w:r>
            </w:hyperlink>
            <w:r w:rsidRPr="00347290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EF2AD5" w:rsidRPr="00347290" w:rsidRDefault="00EF2AD5" w:rsidP="00EF2A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F2AD5" w:rsidRPr="00347290" w:rsidRDefault="00EF2AD5" w:rsidP="00EF2A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47290">
        <w:rPr>
          <w:rFonts w:ascii="Arial" w:eastAsia="Times New Roman" w:hAnsi="Arial" w:cs="Arial"/>
          <w:sz w:val="28"/>
          <w:szCs w:val="28"/>
          <w:lang w:eastAsia="en-GB"/>
        </w:rPr>
        <w:t xml:space="preserve">Date </w:t>
      </w:r>
      <w:r>
        <w:rPr>
          <w:rFonts w:ascii="Arial" w:eastAsia="Times New Roman" w:hAnsi="Arial" w:cs="Arial"/>
          <w:sz w:val="28"/>
          <w:szCs w:val="28"/>
          <w:lang w:eastAsia="en-GB"/>
        </w:rPr>
        <w:t>22 April 2022</w:t>
      </w:r>
    </w:p>
    <w:p w:rsidR="00EF2AD5" w:rsidRPr="00347290" w:rsidRDefault="00EF2AD5" w:rsidP="00EF2A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F2AD5" w:rsidRPr="000E5AA3" w:rsidRDefault="00EF2AD5" w:rsidP="00EF2AD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0E5AA3">
        <w:rPr>
          <w:rFonts w:ascii="Arial" w:eastAsia="Times New Roman" w:hAnsi="Arial" w:cs="Arial"/>
          <w:sz w:val="28"/>
          <w:szCs w:val="28"/>
          <w:lang w:eastAsia="en-GB"/>
        </w:rPr>
        <w:t>Dear</w:t>
      </w:r>
      <w:r w:rsidRPr="000E5A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Client</w:t>
      </w:r>
    </w:p>
    <w:p w:rsidR="00EF2AD5" w:rsidRPr="00347290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F2AD5" w:rsidRPr="00347290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UPDATED </w:t>
      </w:r>
      <w:r w:rsidRPr="00347290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 xml:space="preserve">ASYMPTOMATIC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COVID-19 </w:t>
      </w:r>
      <w:r w:rsidRPr="0034729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TESTING ARRANGEMENTS FOR 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PERSONAL ASSISTANTS </w:t>
      </w:r>
      <w:r w:rsidRPr="00347290">
        <w:rPr>
          <w:rFonts w:ascii="Arial" w:eastAsia="Times New Roman" w:hAnsi="Arial" w:cs="Arial"/>
          <w:b/>
          <w:sz w:val="28"/>
          <w:szCs w:val="28"/>
          <w:lang w:eastAsia="en-GB"/>
        </w:rPr>
        <w:t>FROM MONDAY 25 APRIL 2022</w:t>
      </w:r>
    </w:p>
    <w:p w:rsidR="00EF2AD5" w:rsidRPr="00347290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>We would be grateful if you would ensure that your Personal Assistant(s) is given a copy of this letter.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>On the 24 March 2022, the Department of Health published the COVID-19 Test, Trace and Protect Transition Plan.  The Transition Plan sets out a more targeted approach to testing, with a focus on supporting those at highest risk of serious illness.  The Plan is available at the following link:</w:t>
      </w:r>
    </w:p>
    <w:p w:rsidR="00EF2AD5" w:rsidRDefault="000A63C8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hyperlink r:id="rId8" w:history="1">
        <w:r w:rsidR="00EF2AD5" w:rsidRPr="00EF2AD5">
          <w:rPr>
            <w:rStyle w:val="Hyperlink"/>
            <w:rFonts w:ascii="Arial" w:eastAsia="Calibri" w:hAnsi="Arial" w:cs="Arial"/>
            <w:sz w:val="28"/>
            <w:szCs w:val="28"/>
          </w:rPr>
          <w:t>https://www.health-ni.gov.uk/sites/default/files/publications/health/Test-Trace-Transition-Plan.pdf</w:t>
        </w:r>
      </w:hyperlink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 xml:space="preserve">The Plan explains that changes will be introduced on a phased basis from 22 April 2022, with further planned changes taking place during a period of transition through to a steady state for testing from the end of June 2022 onwards.  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 xml:space="preserve">The purpose of this letter is to advise that </w:t>
      </w:r>
      <w:r w:rsidRPr="00EF2AD5">
        <w:rPr>
          <w:rFonts w:ascii="Arial" w:eastAsia="Calibri" w:hAnsi="Arial" w:cs="Arial"/>
          <w:b/>
          <w:sz w:val="28"/>
          <w:szCs w:val="28"/>
        </w:rPr>
        <w:t>no changes are currently planned</w:t>
      </w:r>
      <w:r w:rsidRPr="00EF2AD5">
        <w:rPr>
          <w:rFonts w:ascii="Arial" w:eastAsia="Calibri" w:hAnsi="Arial" w:cs="Arial"/>
          <w:sz w:val="28"/>
          <w:szCs w:val="28"/>
        </w:rPr>
        <w:t xml:space="preserve"> to the advised Lateral Flow Device (LFD) t</w:t>
      </w:r>
      <w:bookmarkStart w:id="0" w:name="_GoBack"/>
      <w:bookmarkEnd w:id="0"/>
      <w:r w:rsidRPr="00EF2AD5">
        <w:rPr>
          <w:rFonts w:ascii="Arial" w:eastAsia="Calibri" w:hAnsi="Arial" w:cs="Arial"/>
          <w:sz w:val="28"/>
          <w:szCs w:val="28"/>
        </w:rPr>
        <w:t xml:space="preserve">esting arrangements for asymptomatic Personal Assistants (that is for those with no symptoms) in Northern Ireland.  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>All Personal Assistants, who are not already part of an existing regular COVID-19 testing programme at work, will be able to continue to access LFD testing as before.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  <w:lang w:val="en"/>
        </w:rPr>
      </w:pPr>
      <w:r w:rsidRPr="00EF2AD5">
        <w:rPr>
          <w:rFonts w:ascii="Arial" w:eastAsia="Calibri" w:hAnsi="Arial" w:cs="Arial"/>
          <w:sz w:val="28"/>
          <w:szCs w:val="28"/>
        </w:rPr>
        <w:t xml:space="preserve">LFD tests can be ordered on-line </w:t>
      </w:r>
      <w:r w:rsidRPr="00EF2AD5">
        <w:rPr>
          <w:rFonts w:ascii="Arial" w:eastAsia="Calibri" w:hAnsi="Arial" w:cs="Arial"/>
          <w:sz w:val="28"/>
          <w:szCs w:val="28"/>
          <w:lang w:val="en"/>
        </w:rPr>
        <w:t>for delivery to the Personal Assistant’</w:t>
      </w:r>
      <w:r w:rsidR="00305CD9">
        <w:rPr>
          <w:rFonts w:ascii="Arial" w:eastAsia="Calibri" w:hAnsi="Arial" w:cs="Arial"/>
          <w:sz w:val="28"/>
          <w:szCs w:val="28"/>
          <w:lang w:val="en"/>
        </w:rPr>
        <w:t xml:space="preserve">s home </w:t>
      </w:r>
      <w:r w:rsidRPr="00EF2AD5">
        <w:rPr>
          <w:rFonts w:ascii="Arial" w:eastAsia="Calibri" w:hAnsi="Arial" w:cs="Arial"/>
          <w:sz w:val="28"/>
          <w:szCs w:val="28"/>
          <w:lang w:val="en"/>
        </w:rPr>
        <w:t xml:space="preserve"> </w:t>
      </w:r>
    </w:p>
    <w:p w:rsidR="00EF2AD5" w:rsidRDefault="00305CD9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</w:rPr>
        <w:t>o</w:t>
      </w:r>
      <w:r w:rsidRPr="00305CD9">
        <w:rPr>
          <w:rFonts w:ascii="Arial" w:hAnsi="Arial" w:cs="Arial"/>
          <w:sz w:val="28"/>
          <w:szCs w:val="28"/>
        </w:rPr>
        <w:t xml:space="preserve">r </w:t>
      </w:r>
      <w:r w:rsidR="00EF2AD5" w:rsidRPr="00305CD9">
        <w:rPr>
          <w:rFonts w:ascii="Arial" w:eastAsia="Calibri" w:hAnsi="Arial" w:cs="Arial"/>
          <w:sz w:val="28"/>
          <w:szCs w:val="28"/>
          <w:lang w:val="en"/>
        </w:rPr>
        <w:t>Alternatively, Personal Assistants will be able to collect LFD test kits from</w:t>
      </w:r>
      <w:r w:rsidR="00EF2AD5" w:rsidRPr="00EF2AD5">
        <w:rPr>
          <w:rFonts w:ascii="Arial" w:eastAsia="Calibri" w:hAnsi="Arial" w:cs="Arial"/>
          <w:sz w:val="28"/>
          <w:szCs w:val="28"/>
          <w:lang w:val="en"/>
        </w:rPr>
        <w:t xml:space="preserve"> participating community pharmacies across Northern Ireland. People should not use the pharmacy service to collect lateral flow tests if </w:t>
      </w:r>
      <w:r>
        <w:rPr>
          <w:rFonts w:ascii="Arial" w:eastAsia="Calibri" w:hAnsi="Arial" w:cs="Arial"/>
          <w:sz w:val="28"/>
          <w:szCs w:val="28"/>
          <w:lang w:val="en"/>
        </w:rPr>
        <w:t>they have symptoms of COVID-19</w:t>
      </w:r>
    </w:p>
    <w:p w:rsidR="00305CD9" w:rsidRDefault="00305CD9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  <w:lang w:val="en"/>
        </w:rPr>
      </w:pPr>
    </w:p>
    <w:p w:rsidR="00EF2AD5" w:rsidRPr="00305CD9" w:rsidRDefault="00305CD9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  <w:lang w:val="en"/>
        </w:rPr>
      </w:pPr>
      <w:r w:rsidRPr="00305CD9">
        <w:rPr>
          <w:rFonts w:ascii="Arial" w:hAnsi="Arial" w:cs="Arial"/>
          <w:sz w:val="28"/>
          <w:szCs w:val="28"/>
        </w:rPr>
        <w:t xml:space="preserve">Links to on line ordering </w:t>
      </w:r>
      <w:r>
        <w:rPr>
          <w:rFonts w:ascii="Arial" w:hAnsi="Arial" w:cs="Arial"/>
          <w:sz w:val="28"/>
          <w:szCs w:val="28"/>
        </w:rPr>
        <w:t xml:space="preserve">of LFD tests </w:t>
      </w:r>
      <w:r w:rsidRPr="00305CD9">
        <w:rPr>
          <w:rFonts w:ascii="Arial" w:hAnsi="Arial" w:cs="Arial"/>
          <w:sz w:val="28"/>
          <w:szCs w:val="28"/>
        </w:rPr>
        <w:t>and information on participating community pharmacies are available at</w:t>
      </w:r>
      <w:r>
        <w:rPr>
          <w:rFonts w:ascii="Arial" w:hAnsi="Arial" w:cs="Arial"/>
          <w:sz w:val="28"/>
          <w:szCs w:val="28"/>
        </w:rPr>
        <w:t>:</w:t>
      </w:r>
    </w:p>
    <w:p w:rsidR="00305CD9" w:rsidRDefault="000A63C8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hyperlink r:id="rId9" w:history="1">
        <w:r w:rsidR="00305CD9" w:rsidRPr="006F6CBF">
          <w:rPr>
            <w:rStyle w:val="Hyperlink"/>
            <w:rFonts w:ascii="Arial" w:eastAsia="Calibri" w:hAnsi="Arial" w:cs="Arial"/>
            <w:sz w:val="28"/>
            <w:szCs w:val="28"/>
          </w:rPr>
          <w:t>https://www.nidirect.gov.uk/articles/coronavirus-covid-19-testing</w:t>
        </w:r>
      </w:hyperlink>
    </w:p>
    <w:p w:rsidR="00305CD9" w:rsidRDefault="00305CD9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 xml:space="preserve">The current advice is that all asymptomatic Personal Assistants to continue to conduct self-testing LFD tests on a twice weekly basis in their own home, prior to attending their place of work. 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 xml:space="preserve">Testing recommendations for asymptomatic Personal Assistants in Northern Ireland will continue to be kept under regular review.  </w:t>
      </w:r>
      <w:r w:rsidRPr="00EF2AD5" w:rsidDel="007C5FCA">
        <w:rPr>
          <w:rFonts w:ascii="Arial" w:eastAsia="Calibri" w:hAnsi="Arial" w:cs="Arial"/>
          <w:sz w:val="28"/>
          <w:szCs w:val="28"/>
        </w:rPr>
        <w:t xml:space="preserve"> 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BB7612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 xml:space="preserve">If you have any queries in relation to the content of this communication please contact </w:t>
      </w:r>
      <w:hyperlink r:id="rId10" w:history="1">
        <w:r w:rsidR="00BB7612" w:rsidRPr="00420BAC">
          <w:rPr>
            <w:rStyle w:val="Hyperlink"/>
            <w:rFonts w:ascii="Arial" w:eastAsia="Calibri" w:hAnsi="Arial" w:cs="Arial"/>
            <w:sz w:val="28"/>
            <w:szCs w:val="28"/>
          </w:rPr>
          <w:t>Trudy.Brown@hscni.net</w:t>
        </w:r>
      </w:hyperlink>
      <w:r w:rsidR="00BB7612">
        <w:rPr>
          <w:rFonts w:ascii="Arial" w:eastAsia="Calibri" w:hAnsi="Arial" w:cs="Arial"/>
          <w:sz w:val="28"/>
          <w:szCs w:val="28"/>
        </w:rPr>
        <w:t xml:space="preserve"> or </w:t>
      </w:r>
      <w:hyperlink r:id="rId11" w:history="1">
        <w:r w:rsidR="00BB7612" w:rsidRPr="00420BAC">
          <w:rPr>
            <w:rStyle w:val="Hyperlink"/>
            <w:rFonts w:ascii="Arial" w:eastAsia="Calibri" w:hAnsi="Arial" w:cs="Arial"/>
            <w:sz w:val="28"/>
            <w:szCs w:val="28"/>
          </w:rPr>
          <w:t>Wendy.Thornton@hscni.net</w:t>
        </w:r>
      </w:hyperlink>
      <w:r w:rsidR="00BB7612">
        <w:rPr>
          <w:rFonts w:ascii="Arial" w:eastAsia="Calibri" w:hAnsi="Arial" w:cs="Arial"/>
          <w:sz w:val="28"/>
          <w:szCs w:val="28"/>
        </w:rPr>
        <w:t>.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>Thank you for your continuing support.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EF2AD5">
        <w:rPr>
          <w:rFonts w:ascii="Arial" w:eastAsia="Calibri" w:hAnsi="Arial" w:cs="Arial"/>
          <w:sz w:val="28"/>
          <w:szCs w:val="28"/>
        </w:rPr>
        <w:t>Yours sincerely</w:t>
      </w:r>
    </w:p>
    <w:p w:rsidR="00EF2AD5" w:rsidRPr="00EF2AD5" w:rsidRDefault="00EF2AD5" w:rsidP="00EF2AD5">
      <w:pPr>
        <w:spacing w:after="0" w:line="259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</w:p>
    <w:p w:rsidR="00EF2AD5" w:rsidRPr="00347290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347290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30048A"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 wp14:anchorId="73692D51">
            <wp:extent cx="1774190" cy="6280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AD5" w:rsidRPr="00347290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EF2AD5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Dr Brid Farrell</w:t>
      </w:r>
    </w:p>
    <w:p w:rsidR="00EF2AD5" w:rsidRPr="00347290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>Deputy Director of Public Health</w:t>
      </w:r>
    </w:p>
    <w:p w:rsidR="00EF2AD5" w:rsidRPr="00347290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EF2AD5" w:rsidRPr="00347290" w:rsidRDefault="00EF2AD5" w:rsidP="00EF2AD5">
      <w:pPr>
        <w:tabs>
          <w:tab w:val="left" w:pos="337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11306" w:type="dxa"/>
        <w:tblLook w:val="04A0" w:firstRow="1" w:lastRow="0" w:firstColumn="1" w:lastColumn="0" w:noHBand="0" w:noVBand="1"/>
      </w:tblPr>
      <w:tblGrid>
        <w:gridCol w:w="4644"/>
        <w:gridCol w:w="1276"/>
        <w:gridCol w:w="2693"/>
        <w:gridCol w:w="2693"/>
      </w:tblGrid>
      <w:tr w:rsidR="00EF2AD5" w:rsidRPr="00347290" w:rsidTr="00EF6D2B">
        <w:tc>
          <w:tcPr>
            <w:tcW w:w="4644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34729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cc</w:t>
            </w:r>
          </w:p>
        </w:tc>
        <w:tc>
          <w:tcPr>
            <w:tcW w:w="1276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EF2AD5" w:rsidRPr="00347290" w:rsidTr="00EF6D2B">
        <w:tc>
          <w:tcPr>
            <w:tcW w:w="4644" w:type="dxa"/>
            <w:shd w:val="clear" w:color="auto" w:fill="auto"/>
          </w:tcPr>
          <w:p w:rsidR="00EF2AD5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  <w:p w:rsidR="00EF2AD5" w:rsidRDefault="0030048A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SPPG</w:t>
            </w:r>
            <w:r w:rsidR="00EF2AD5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 Chief Executive</w:t>
            </w:r>
          </w:p>
          <w:p w:rsidR="00EF2AD5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>HSC Trust Chief Executives</w:t>
            </w:r>
          </w:p>
          <w:p w:rsidR="00EF2AD5" w:rsidRPr="00347290" w:rsidRDefault="00EF2AD5" w:rsidP="00E40450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  <w:tr w:rsidR="00EF2AD5" w:rsidRPr="00347290" w:rsidTr="00EF6D2B">
        <w:tc>
          <w:tcPr>
            <w:tcW w:w="4644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:rsidR="00EF2AD5" w:rsidRPr="00347290" w:rsidRDefault="00EF2AD5" w:rsidP="00EF6D2B">
            <w:pPr>
              <w:tabs>
                <w:tab w:val="left" w:pos="337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</w:tr>
    </w:tbl>
    <w:p w:rsidR="00026A3E" w:rsidRDefault="00026A3E" w:rsidP="00BB7612"/>
    <w:sectPr w:rsidR="00026A3E" w:rsidSect="00D565F2">
      <w:headerReference w:type="default" r:id="rId13"/>
      <w:footerReference w:type="default" r:id="rId14"/>
      <w:footerReference w:type="first" r:id="rId15"/>
      <w:pgSz w:w="11906" w:h="16838" w:code="9"/>
      <w:pgMar w:top="851" w:right="73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AA" w:rsidRDefault="00305CD9">
      <w:pPr>
        <w:spacing w:after="0" w:line="240" w:lineRule="auto"/>
      </w:pPr>
      <w:r>
        <w:separator/>
      </w:r>
    </w:p>
  </w:endnote>
  <w:endnote w:type="continuationSeparator" w:id="0">
    <w:p w:rsidR="008B45AA" w:rsidRDefault="0030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E3" w:rsidRDefault="00E4045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897A927" wp14:editId="3D40ECD3">
          <wp:simplePos x="0" y="0"/>
          <wp:positionH relativeFrom="column">
            <wp:posOffset>5548630</wp:posOffset>
          </wp:positionH>
          <wp:positionV relativeFrom="paragraph">
            <wp:posOffset>-1113790</wp:posOffset>
          </wp:positionV>
          <wp:extent cx="956310" cy="1485900"/>
          <wp:effectExtent l="0" t="0" r="0" b="0"/>
          <wp:wrapNone/>
          <wp:docPr id="2" name="Picture 2" descr="curves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rves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ECA2235" wp14:editId="2B8F3701">
          <wp:simplePos x="0" y="0"/>
          <wp:positionH relativeFrom="column">
            <wp:posOffset>156210</wp:posOffset>
          </wp:positionH>
          <wp:positionV relativeFrom="paragraph">
            <wp:posOffset>-222250</wp:posOffset>
          </wp:positionV>
          <wp:extent cx="2854325" cy="167005"/>
          <wp:effectExtent l="0" t="0" r="3175" b="4445"/>
          <wp:wrapNone/>
          <wp:docPr id="3" name="Picture 3" descr="PHA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Astra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CC" w:rsidRDefault="00E40450" w:rsidP="00C32C8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03DDCA2" wp14:editId="50460054">
          <wp:simplePos x="0" y="0"/>
          <wp:positionH relativeFrom="column">
            <wp:posOffset>5510530</wp:posOffset>
          </wp:positionH>
          <wp:positionV relativeFrom="paragraph">
            <wp:posOffset>-871220</wp:posOffset>
          </wp:positionV>
          <wp:extent cx="956310" cy="1485900"/>
          <wp:effectExtent l="0" t="0" r="0" b="0"/>
          <wp:wrapNone/>
          <wp:docPr id="4" name="Picture 4" descr="curves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urves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876950" wp14:editId="6DDFF0E2">
          <wp:simplePos x="0" y="0"/>
          <wp:positionH relativeFrom="column">
            <wp:posOffset>3810</wp:posOffset>
          </wp:positionH>
          <wp:positionV relativeFrom="paragraph">
            <wp:posOffset>-24130</wp:posOffset>
          </wp:positionV>
          <wp:extent cx="2854325" cy="167005"/>
          <wp:effectExtent l="0" t="0" r="3175" b="4445"/>
          <wp:wrapNone/>
          <wp:docPr id="5" name="Picture 5" descr="PHA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strap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0CC" w:rsidRPr="00C32C80" w:rsidRDefault="000A63C8" w:rsidP="00C32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AA" w:rsidRDefault="00305CD9">
      <w:pPr>
        <w:spacing w:after="0" w:line="240" w:lineRule="auto"/>
      </w:pPr>
      <w:r>
        <w:separator/>
      </w:r>
    </w:p>
  </w:footnote>
  <w:footnote w:type="continuationSeparator" w:id="0">
    <w:p w:rsidR="008B45AA" w:rsidRDefault="0030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E3" w:rsidRDefault="00E40450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0048A" w:rsidRPr="0030048A">
      <w:rPr>
        <w:b/>
        <w:noProof/>
      </w:rPr>
      <w:t>2</w:t>
    </w:r>
    <w:r>
      <w:fldChar w:fldCharType="end"/>
    </w:r>
  </w:p>
  <w:p w:rsidR="00633BE3" w:rsidRDefault="000A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D5"/>
    <w:rsid w:val="00026A3E"/>
    <w:rsid w:val="000A63C8"/>
    <w:rsid w:val="0030048A"/>
    <w:rsid w:val="00305CD9"/>
    <w:rsid w:val="008B45AA"/>
    <w:rsid w:val="00BB7612"/>
    <w:rsid w:val="00E40450"/>
    <w:rsid w:val="00E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25038-1D5F-41AF-B59C-F9AAE8C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2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AD5"/>
  </w:style>
  <w:style w:type="paragraph" w:styleId="Footer">
    <w:name w:val="footer"/>
    <w:basedOn w:val="Normal"/>
    <w:link w:val="FooterChar"/>
    <w:uiPriority w:val="99"/>
    <w:semiHidden/>
    <w:unhideWhenUsed/>
    <w:rsid w:val="00EF2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AD5"/>
  </w:style>
  <w:style w:type="table" w:styleId="TableGrid">
    <w:name w:val="Table Grid"/>
    <w:basedOn w:val="TableNormal"/>
    <w:uiPriority w:val="39"/>
    <w:rsid w:val="00EF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A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A63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-ni.gov.uk/sites/default/files/publications/health/Test-Trace-Transition-Plan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ublichealth.hscni.net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Wendy.Thornton@hscni.net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Trudy.Brown@hscni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idirect.gov.uk/articles/coronavirus-covid-19-test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Reid</dc:creator>
  <cp:lastModifiedBy>Mahoney A (Adrian)</cp:lastModifiedBy>
  <cp:revision>2</cp:revision>
  <dcterms:created xsi:type="dcterms:W3CDTF">2022-04-25T11:53:00Z</dcterms:created>
  <dcterms:modified xsi:type="dcterms:W3CDTF">2022-04-25T11:53:00Z</dcterms:modified>
</cp:coreProperties>
</file>